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left w:w="75" w:type="dxa"/>
          <w:right w:w="75" w:type="dxa"/>
        </w:tblCellMar>
        <w:tblLook w:val="04A0"/>
      </w:tblPr>
      <w:tblGrid>
        <w:gridCol w:w="8374"/>
        <w:gridCol w:w="367"/>
        <w:gridCol w:w="352"/>
        <w:gridCol w:w="397"/>
      </w:tblGrid>
      <w:tr w:rsidR="00B7193C" w:rsidTr="00B7193C">
        <w:trPr>
          <w:tblCellSpacing w:w="15" w:type="dxa"/>
        </w:trPr>
        <w:tc>
          <w:tcPr>
            <w:tcW w:w="5000" w:type="pct"/>
            <w:shd w:val="clear" w:color="auto" w:fill="000000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7193C" w:rsidRDefault="00B7193C">
            <w:pPr>
              <w:spacing w:before="45" w:after="45" w:line="270" w:lineRule="atLeast"/>
              <w:jc w:val="center"/>
              <w:rPr>
                <w:rFonts w:ascii="Arial" w:hAnsi="Arial" w:cs="Arial"/>
                <w:b/>
                <w:bCs/>
                <w:caps/>
                <w:color w:val="1F83EA"/>
                <w:sz w:val="23"/>
                <w:szCs w:val="23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aps/>
                <w:color w:val="1F83EA"/>
                <w:sz w:val="23"/>
                <w:szCs w:val="23"/>
              </w:rPr>
              <w:t xml:space="preserve">Процесс горения </w:t>
            </w:r>
          </w:p>
        </w:tc>
        <w:tc>
          <w:tcPr>
            <w:tcW w:w="5000" w:type="pct"/>
            <w:tcMar>
              <w:top w:w="15" w:type="dxa"/>
              <w:left w:w="30" w:type="dxa"/>
              <w:bottom w:w="15" w:type="dxa"/>
              <w:right w:w="30" w:type="dxa"/>
            </w:tcMar>
            <w:vAlign w:val="center"/>
            <w:hideMark/>
          </w:tcPr>
          <w:p w:rsidR="00B7193C" w:rsidRDefault="00B7193C">
            <w:pPr>
              <w:spacing w:line="240" w:lineRule="atLeast"/>
              <w:jc w:val="right"/>
              <w:rPr>
                <w:rFonts w:ascii="Arial" w:hAnsi="Arial" w:cs="Arial"/>
                <w:color w:val="ADBDCC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B5BBBF"/>
                <w:sz w:val="20"/>
                <w:szCs w:val="20"/>
              </w:rPr>
              <w:drawing>
                <wp:inline distT="0" distB="0" distL="0" distR="0">
                  <wp:extent cx="156845" cy="156845"/>
                  <wp:effectExtent l="19050" t="0" r="0" b="0"/>
                  <wp:docPr id="1" name="Рисунок 1" descr="PDF">
                    <a:hlinkClick xmlns:a="http://schemas.openxmlformats.org/drawingml/2006/main" r:id="rId5" tooltip="PD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tcMar>
              <w:top w:w="45" w:type="dxa"/>
              <w:left w:w="75" w:type="dxa"/>
              <w:bottom w:w="45" w:type="dxa"/>
              <w:right w:w="0" w:type="dxa"/>
            </w:tcMar>
            <w:vAlign w:val="center"/>
            <w:hideMark/>
          </w:tcPr>
          <w:p w:rsidR="00B7193C" w:rsidRDefault="00B7193C">
            <w:pPr>
              <w:spacing w:line="240" w:lineRule="atLeast"/>
              <w:jc w:val="right"/>
              <w:rPr>
                <w:rFonts w:ascii="Arial" w:hAnsi="Arial" w:cs="Arial"/>
                <w:color w:val="ADBDCC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B5BBBF"/>
                <w:sz w:val="20"/>
                <w:szCs w:val="20"/>
              </w:rPr>
              <w:drawing>
                <wp:inline distT="0" distB="0" distL="0" distR="0">
                  <wp:extent cx="156845" cy="156845"/>
                  <wp:effectExtent l="0" t="0" r="0" b="0"/>
                  <wp:docPr id="2" name="Рисунок 2" descr="Печать">
                    <a:hlinkClick xmlns:a="http://schemas.openxmlformats.org/drawingml/2006/main" r:id="rId8" tooltip="Печать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еч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B7193C" w:rsidRDefault="00B7193C">
            <w:pPr>
              <w:spacing w:line="240" w:lineRule="atLeast"/>
              <w:jc w:val="right"/>
              <w:rPr>
                <w:rFonts w:ascii="Arial" w:hAnsi="Arial" w:cs="Arial"/>
                <w:color w:val="ADBDCC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B5BBBF"/>
                <w:sz w:val="20"/>
                <w:szCs w:val="20"/>
              </w:rPr>
              <w:drawing>
                <wp:inline distT="0" distB="0" distL="0" distR="0">
                  <wp:extent cx="156845" cy="156845"/>
                  <wp:effectExtent l="19050" t="0" r="0" b="0"/>
                  <wp:docPr id="3" name="Рисунок 3" descr="E-mail">
                    <a:hlinkClick xmlns:a="http://schemas.openxmlformats.org/drawingml/2006/main" r:id="rId11" tooltip="E-mail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-ma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" cy="1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193C" w:rsidRDefault="00B7193C" w:rsidP="00B7193C">
      <w:pPr>
        <w:spacing w:line="240" w:lineRule="atLeast"/>
        <w:rPr>
          <w:rFonts w:ascii="Arial" w:hAnsi="Arial" w:cs="Arial"/>
          <w:vanish/>
          <w:color w:val="ADBDCC"/>
          <w:sz w:val="20"/>
          <w:szCs w:val="20"/>
          <w:lang w:val="en-US" w:eastAsia="en-US"/>
        </w:rPr>
      </w:pPr>
    </w:p>
    <w:tbl>
      <w:tblPr>
        <w:tblW w:w="5000" w:type="pct"/>
        <w:tblCellSpacing w:w="15" w:type="dxa"/>
        <w:tblCellMar>
          <w:left w:w="75" w:type="dxa"/>
          <w:right w:w="75" w:type="dxa"/>
        </w:tblCellMar>
        <w:tblLook w:val="04A0"/>
      </w:tblPr>
      <w:tblGrid>
        <w:gridCol w:w="9565"/>
      </w:tblGrid>
      <w:tr w:rsidR="00B7193C" w:rsidTr="00B7193C">
        <w:trPr>
          <w:tblCellSpacing w:w="15" w:type="dxa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273F71" w:rsidRPr="003618F7" w:rsidRDefault="00B7193C" w:rsidP="00273F71">
            <w:pPr>
              <w:pStyle w:val="a7"/>
              <w:rPr>
                <w:b/>
                <w:bCs/>
                <w:sz w:val="24"/>
                <w:szCs w:val="24"/>
              </w:rPr>
            </w:pPr>
            <w:r w:rsidRPr="00273F71">
              <w:rPr>
                <w:b/>
                <w:bCs/>
                <w:noProof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posOffset>-95250</wp:posOffset>
                  </wp:positionH>
                  <wp:positionV relativeFrom="line">
                    <wp:posOffset>-495300</wp:posOffset>
                  </wp:positionV>
                  <wp:extent cx="1209675" cy="1181100"/>
                  <wp:effectExtent l="19050" t="0" r="9525" b="0"/>
                  <wp:wrapSquare wrapText="bothSides"/>
                  <wp:docPr id="4" name="Рисунок 2" descr="Процесс гор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роцесс гор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8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73F71">
              <w:rPr>
                <w:b/>
                <w:bCs/>
                <w:sz w:val="24"/>
                <w:szCs w:val="24"/>
              </w:rPr>
              <w:t xml:space="preserve">Горением называют быстропротекающую реакцию, которая сопровождается выделением тепла и излучением света. Обычно это окислительный процесс соединения топлива с кислородом воздуха. Чтобы началась реакция, топливо и окислитель (кислород, воздух) необходимо нагреть до температуры самовоспламенения топлива. Температура самовоспламенения различна не только для разных, но даже и для одного топлива в зависимости от его состояния, концентрации кислорода, способов смесеобразования, материала камеры, в которой происходит горение, температуры окружающей среды и др. </w:t>
            </w:r>
          </w:p>
          <w:p w:rsidR="00273F71" w:rsidRPr="003618F7" w:rsidRDefault="00B7193C" w:rsidP="00273F71">
            <w:pPr>
              <w:pStyle w:val="a7"/>
              <w:rPr>
                <w:b/>
                <w:bCs/>
                <w:sz w:val="28"/>
                <w:szCs w:val="28"/>
              </w:rPr>
            </w:pPr>
            <w:r w:rsidRPr="00273F71">
              <w:rPr>
                <w:b/>
                <w:bCs/>
                <w:sz w:val="28"/>
                <w:szCs w:val="28"/>
                <w:highlight w:val="yellow"/>
              </w:rPr>
              <w:t>Процесс горения очень сложен и, несмотря на широкое распространение, еще мало изучен.</w:t>
            </w:r>
            <w:r w:rsidRPr="00273F71">
              <w:rPr>
                <w:b/>
                <w:bCs/>
                <w:sz w:val="28"/>
                <w:szCs w:val="28"/>
              </w:rPr>
              <w:t xml:space="preserve"> </w:t>
            </w:r>
          </w:p>
          <w:p w:rsidR="00B7193C" w:rsidRPr="00273F71" w:rsidRDefault="00B7193C" w:rsidP="00273F71">
            <w:pPr>
              <w:pStyle w:val="a7"/>
              <w:rPr>
                <w:b/>
                <w:bCs/>
                <w:sz w:val="24"/>
                <w:szCs w:val="24"/>
              </w:rPr>
            </w:pPr>
            <w:r w:rsidRPr="00273F71">
              <w:rPr>
                <w:b/>
                <w:bCs/>
                <w:sz w:val="24"/>
                <w:szCs w:val="24"/>
              </w:rPr>
              <w:t>Конечные продукты горения любого топлива — углекислый газ, пары воды и окислы серы, если она содержится в горючем.</w:t>
            </w:r>
          </w:p>
          <w:p w:rsidR="00647865" w:rsidRDefault="00B7193C" w:rsidP="00647865">
            <w:pPr>
              <w:pStyle w:val="a7"/>
              <w:rPr>
                <w:lang w:val="en-US"/>
              </w:rPr>
            </w:pPr>
            <w:r>
              <w:t>Однако до их образования топливо претерпевает значительные изменения: связи в молекулах разрываются, меняют положение атомы, при этом выделяются различные пары и газы, которые при соединении с кислородом образуют пламя. Остаток топлива сгорает без пламени. В процессе горения температура газов достигает 1500— 2400° С. Очень большую роль при сгорании играет количество подаваемого воздуха. Если его недостаточно, то горение идет медленно, температура невысока, образуются продукты неполного горения: окись углерода, сажа и др. Выделяющиеся выхлопные газы становятся темными, а иногда черными. Увеличивать количество воздуха выше нужного предела также нельзя. В воздухе по объему содержится только 21% кислорода, а остальное — инертный газ — азот N</w:t>
            </w:r>
            <w:r>
              <w:rPr>
                <w:vertAlign w:val="subscript"/>
              </w:rPr>
              <w:t>2</w:t>
            </w:r>
            <w:r>
              <w:t xml:space="preserve">. Следовательно, если подавать много воздуха, то значительное количество тепла будет расходоваться на нагревание азота и избыточного кислорода; температура при этом снижается, скорость сгорания уменьшается, наблюдается перерасход топлива. </w:t>
            </w:r>
            <w:r w:rsidRPr="003618F7">
              <w:rPr>
                <w:highlight w:val="yellow"/>
              </w:rPr>
              <w:t>Зная элементный состав топлива (содержание углерода, водорода и серы), по реакциям сгорания каждого элемента можно вывести формулу для определения количества воздуха, требуемого для горения.</w:t>
            </w:r>
            <w:r w:rsidRPr="003618F7">
              <w:t xml:space="preserve"> </w:t>
            </w:r>
            <w:r>
              <w:t xml:space="preserve">Коэффициенты показывают, сколько частей кислорода требуется для сжигания того или иного элемента. Кислород, который содержится в топливе, тоже участвует в реакции, поэтому его вычитают. Цифра 23,2 показывает количество кислорода (по массе), содержащегося в воздухе. </w:t>
            </w:r>
            <w:r w:rsidRPr="003618F7">
              <w:rPr>
                <w:highlight w:val="yellow"/>
              </w:rPr>
              <w:t>Не прибегая к расчетам, ориентировочно можно считать, что для бензина и дизельного топлива, элементный состав которых близок, для полного сгорания 1 кг требуется около 15 кг воздуха</w:t>
            </w:r>
            <w:r>
              <w:t xml:space="preserve">. Полное сгорание топлива с расчетным количеством воздуха возможно только при идеальных условиях: каждая молекула кислорода должна вступать в реакцию с каждой молекулой топлива. </w:t>
            </w:r>
            <w:r w:rsidRPr="00647865">
              <w:rPr>
                <w:highlight w:val="green"/>
              </w:rPr>
              <w:t>В двигателях достичь такого положения невозможно: топливо распыляется не на молекулы, а на капли различного размера. Поэтому в реальных условиях эксплуатации для обеспечения полного сгорания топлива всегда подается воздуха больше, чем требуется по расчету. Это количество называют действительно израсходованным</w:t>
            </w:r>
            <w:r>
              <w:t>. Отношение действительно израсходованного количества воздуха к теоретически необходимому называют коэффициентом избытка воздуха (а). Если в продуктах сгорания много свободного кислорода, то воздуха подается избыточное количество, а если есть продукты неполного сгорания, например окись углерода, то — недостаточное. Состав продуктов сгорания определяют анализом на специальных приборах, называемых газоанализаторами, а количество азота подсчитывают по разности N</w:t>
            </w:r>
            <w:r>
              <w:rPr>
                <w:vertAlign w:val="subscript"/>
              </w:rPr>
              <w:t>2</w:t>
            </w:r>
            <w:r>
              <w:t>= 100 - (С0</w:t>
            </w:r>
            <w:r>
              <w:rPr>
                <w:vertAlign w:val="subscript"/>
              </w:rPr>
              <w:t>2</w:t>
            </w:r>
            <w:r>
              <w:t>+0</w:t>
            </w:r>
            <w:r>
              <w:rPr>
                <w:vertAlign w:val="subscript"/>
              </w:rPr>
              <w:t>2</w:t>
            </w:r>
            <w:r>
              <w:t>+</w:t>
            </w:r>
            <w:proofErr w:type="gramStart"/>
            <w:r>
              <w:t>СО</w:t>
            </w:r>
            <w:proofErr w:type="gramEnd"/>
            <w:r>
              <w:t>).</w:t>
            </w:r>
          </w:p>
          <w:p w:rsidR="00B7193C" w:rsidRPr="00647865" w:rsidRDefault="00B7193C" w:rsidP="0064786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зависимости от соотношения количества воздуха и топлива может быть несколько видов горючей смеси. Если полное сгорание происходит с расчетным количеством воздуха, то коэффициент избытка равен единице, при этом смесь называют нормальной. Когда коэффициент избытка воздуха больше единицы, смесь бедная, а меньше единицы — богатая. При значениях, близких к единице, смесь называют обедненной или обогащенной. </w:t>
            </w:r>
            <w:r w:rsidRPr="00647865">
              <w:rPr>
                <w:sz w:val="24"/>
                <w:szCs w:val="24"/>
                <w:highlight w:val="yellow"/>
              </w:rPr>
              <w:t>Режимная работа двигателя, как на бедных, так и на богатых смесях невыгодна.</w:t>
            </w:r>
            <w:r>
              <w:rPr>
                <w:sz w:val="24"/>
                <w:szCs w:val="24"/>
              </w:rPr>
              <w:t xml:space="preserve"> В первом случае горючая смесь разбавляется большим количеством инертного азота и лишним кислородом, скорость и температура горения снижаются, двигатель не развивает нужной мощности. Во втором — кислорода недостаточно, образуются продукты неполного горения топлива, увеличивается количество нагаров, двигатель дымит, расход топлива увеличивается, а мощность падает. Для двигателей всех типов при всех режимах работы нужно стараться обеспечить полное сгорание топлива с возможно меньшим коэффициентом избытка воздуха. Ниже приведены примерные значения коэффициента избытка воздуха, с которым сгорает топливо в двигателях различного типа и теплосиловых установках: Вид топлива: Бензин (для карбюраторных двигателей) 0,90—1,15, </w:t>
            </w:r>
            <w:proofErr w:type="gramStart"/>
            <w:r>
              <w:rPr>
                <w:sz w:val="24"/>
                <w:szCs w:val="24"/>
              </w:rPr>
              <w:t>Дизельное</w:t>
            </w:r>
            <w:proofErr w:type="gramEnd"/>
            <w:r>
              <w:rPr>
                <w:sz w:val="24"/>
                <w:szCs w:val="24"/>
              </w:rPr>
              <w:t xml:space="preserve"> (для быстроходных дизелей) 1,20—1,60, Моторное (для тихоходных дизелей) 1,50—1,70, Твердое 1,50—2,00, Пылевидное 1,10—1,20, Газообразное (сжатые, сжиженные газы) 1,05—1,15. Чем меньше вязкость топлива, тем лучше его смесеобразование с воздухом и проще обеспечивается полное сгорание с небольшим избытком воздуха. В период разгона автомобиля с карбюраторным двигателем, когда за короткое время нужно развить большую мощность, нередко прибегают к обогащению смеси, но на установившемся режиме работают на обедненной смеси. В быстроходных дизелях на процессы смесеобразования и сгорания отводится очень мало времени, поэтому, чтобы организовать полное сгорание топлива, приходится значительно обеднять горючую смесь. Наибольшая экономичность достигается при обеспечении полного сгорания топлива для карбюраторных двигателей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а=1,05, а для дизельных с а = 1,20.</w:t>
            </w:r>
          </w:p>
          <w:p w:rsidR="00B7193C" w:rsidRDefault="00B7193C">
            <w:pPr>
              <w:pStyle w:val="a4"/>
              <w:rPr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b/>
                <w:color w:val="auto"/>
                <w:sz w:val="24"/>
                <w:szCs w:val="24"/>
                <w:lang w:val="ru-RU"/>
              </w:rPr>
              <w:t xml:space="preserve">Кроме того, что полное сгорание топлива обеспечивает наиболее экономное его расходование, нужно всегда помнить о другом обстоятельстве. Продукты неполного сгорания загрязняют окружающую атмосферу, вредно действуют на живые организмы и растительный мир. Угарный газ (окись углерода), различные окислы азота, частично окислившиеся углеводороды топлива (некоторые смолистые соединения, </w:t>
            </w:r>
            <w:proofErr w:type="spellStart"/>
            <w:r>
              <w:rPr>
                <w:b/>
                <w:color w:val="auto"/>
                <w:sz w:val="24"/>
                <w:szCs w:val="24"/>
                <w:lang w:val="ru-RU"/>
              </w:rPr>
              <w:t>бензпирен</w:t>
            </w:r>
            <w:proofErr w:type="spellEnd"/>
            <w:r>
              <w:rPr>
                <w:b/>
                <w:color w:val="auto"/>
                <w:sz w:val="24"/>
                <w:szCs w:val="24"/>
                <w:lang w:val="ru-RU"/>
              </w:rPr>
              <w:t xml:space="preserve">) являются сильнейшими ядами. Даже самое ничтожное их количество вызывает тяжелые отравления и заболевания. </w:t>
            </w:r>
            <w:r w:rsidRPr="00647865">
              <w:rPr>
                <w:b/>
                <w:color w:val="auto"/>
                <w:sz w:val="24"/>
                <w:szCs w:val="24"/>
                <w:highlight w:val="yellow"/>
                <w:lang w:val="ru-RU"/>
              </w:rPr>
              <w:t xml:space="preserve">В России большое внимание уделяется охране воздуха, водоемов, почвы, живой природы. </w:t>
            </w:r>
            <w:r w:rsidRPr="00647865">
              <w:rPr>
                <w:b/>
                <w:color w:val="auto"/>
                <w:sz w:val="24"/>
                <w:szCs w:val="24"/>
                <w:highlight w:val="green"/>
                <w:lang w:val="ru-RU"/>
              </w:rPr>
              <w:t>На охрану окружающей среды отпускаются большие средства</w:t>
            </w:r>
            <w:r w:rsidRPr="00647865">
              <w:rPr>
                <w:b/>
                <w:color w:val="auto"/>
                <w:sz w:val="24"/>
                <w:szCs w:val="24"/>
                <w:highlight w:val="yellow"/>
                <w:lang w:val="ru-RU"/>
              </w:rPr>
              <w:t xml:space="preserve">. В каждой отрасли народного хозяйства проводятся различные мероприятия, и совершенствуется техника. Улучшается конструкция двигателей; для обеспечения их надежной работы выпускаются более качественные сорта топлива и масел. Чтобы лучше осуществить процесс горения, необходимо для каждого типа двигателя правильно выбрать сорт и марку топлива, что позволит обеспечить хорошее смесеобразование и сгорание. Кроме того, </w:t>
            </w:r>
            <w:r w:rsidRPr="00647865">
              <w:rPr>
                <w:b/>
                <w:color w:val="auto"/>
                <w:sz w:val="24"/>
                <w:szCs w:val="24"/>
                <w:highlight w:val="green"/>
                <w:lang w:val="ru-RU"/>
              </w:rPr>
              <w:t>для полного сгорания топлива необходима правильная регулировка топливной аппаратуры дизелей и системы заж</w:t>
            </w:r>
            <w:r w:rsidRPr="00647865">
              <w:rPr>
                <w:b/>
                <w:color w:val="auto"/>
                <w:sz w:val="24"/>
                <w:szCs w:val="24"/>
                <w:highlight w:val="yellow"/>
                <w:lang w:val="ru-RU"/>
              </w:rPr>
              <w:t>игания карбюраторных двигателей, а также повседневный контроль их работы.</w:t>
            </w:r>
          </w:p>
          <w:p w:rsidR="00B7193C" w:rsidRDefault="00B7193C">
            <w:pPr>
              <w:pStyle w:val="a4"/>
              <w:rPr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b/>
                <w:color w:val="auto"/>
                <w:sz w:val="24"/>
                <w:szCs w:val="24"/>
              </w:rPr>
              <w:t> </w:t>
            </w:r>
          </w:p>
          <w:p w:rsidR="00B7193C" w:rsidRDefault="00B7193C">
            <w:pPr>
              <w:spacing w:line="240" w:lineRule="atLeast"/>
              <w:rPr>
                <w:rFonts w:ascii="Arial" w:hAnsi="Arial" w:cs="Arial"/>
                <w:color w:val="ADBDCC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ADBDCC"/>
                <w:sz w:val="20"/>
                <w:szCs w:val="20"/>
              </w:rPr>
              <w:t xml:space="preserve">Метки: </w:t>
            </w:r>
            <w:hyperlink r:id="rId15" w:history="1"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t>топливо</w:t>
              </w:r>
            </w:hyperlink>
            <w:r>
              <w:rPr>
                <w:rFonts w:ascii="Arial" w:hAnsi="Arial" w:cs="Arial"/>
                <w:color w:val="ADBDCC"/>
                <w:sz w:val="20"/>
                <w:szCs w:val="20"/>
              </w:rPr>
              <w:t xml:space="preserve"> </w:t>
            </w:r>
            <w:hyperlink r:id="rId16" w:history="1"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t>воздух</w:t>
              </w:r>
            </w:hyperlink>
            <w:r>
              <w:rPr>
                <w:rFonts w:ascii="Arial" w:hAnsi="Arial" w:cs="Arial"/>
                <w:color w:val="ADBDCC"/>
                <w:sz w:val="20"/>
                <w:szCs w:val="20"/>
              </w:rPr>
              <w:t xml:space="preserve"> </w:t>
            </w:r>
            <w:hyperlink r:id="rId17" w:history="1"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t>сгорание</w:t>
              </w:r>
            </w:hyperlink>
            <w:r>
              <w:rPr>
                <w:rFonts w:ascii="Arial" w:hAnsi="Arial" w:cs="Arial"/>
                <w:color w:val="ADBDCC"/>
                <w:sz w:val="20"/>
                <w:szCs w:val="20"/>
              </w:rPr>
              <w:t xml:space="preserve"> </w:t>
            </w:r>
            <w:hyperlink r:id="rId18" w:history="1"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t>количество</w:t>
              </w:r>
            </w:hyperlink>
            <w:r>
              <w:rPr>
                <w:rFonts w:ascii="Arial" w:hAnsi="Arial" w:cs="Arial"/>
                <w:color w:val="ADBDCC"/>
                <w:sz w:val="20"/>
                <w:szCs w:val="20"/>
              </w:rPr>
              <w:t xml:space="preserve"> </w:t>
            </w:r>
            <w:hyperlink r:id="rId19" w:history="1"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t>горение</w:t>
              </w:r>
            </w:hyperlink>
          </w:p>
        </w:tc>
      </w:tr>
    </w:tbl>
    <w:p w:rsidR="00B7193C" w:rsidRDefault="00B7193C" w:rsidP="00B7193C">
      <w:pPr>
        <w:spacing w:line="240" w:lineRule="atLeast"/>
        <w:rPr>
          <w:rFonts w:ascii="Arial" w:hAnsi="Arial" w:cs="Arial"/>
          <w:color w:val="ADBDCC"/>
          <w:sz w:val="20"/>
          <w:szCs w:val="20"/>
          <w:lang w:eastAsia="en-US"/>
        </w:rPr>
      </w:pPr>
      <w:r>
        <w:rPr>
          <w:rStyle w:val="articleseparator"/>
          <w:rFonts w:ascii="Arial" w:hAnsi="Arial" w:cs="Arial"/>
          <w:color w:val="ADBDCC"/>
          <w:sz w:val="20"/>
          <w:szCs w:val="20"/>
        </w:rPr>
        <w:t> </w:t>
      </w:r>
    </w:p>
    <w:p w:rsidR="00B7193C" w:rsidRDefault="00B7193C" w:rsidP="00B7193C">
      <w:pPr>
        <w:ind w:left="900" w:right="945"/>
        <w:rPr>
          <w:rFonts w:ascii="Times New Roman" w:hAnsi="Times New Roman" w:cs="Times New Roman"/>
          <w:sz w:val="24"/>
          <w:szCs w:val="24"/>
        </w:rPr>
      </w:pPr>
    </w:p>
    <w:p w:rsidR="00D627B5" w:rsidRDefault="00D627B5"/>
    <w:sectPr w:rsidR="00D627B5" w:rsidSect="00D62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40"/>
  <w:proofState w:spelling="clean" w:grammar="clean"/>
  <w:defaultTabStop w:val="708"/>
  <w:characterSpacingControl w:val="doNotCompress"/>
  <w:compat>
    <w:useFELayout/>
  </w:compat>
  <w:rsids>
    <w:rsidRoot w:val="00B7193C"/>
    <w:rsid w:val="00273F71"/>
    <w:rsid w:val="003618F7"/>
    <w:rsid w:val="00647865"/>
    <w:rsid w:val="009E454B"/>
    <w:rsid w:val="00B7193C"/>
    <w:rsid w:val="00D6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B5"/>
  </w:style>
  <w:style w:type="paragraph" w:styleId="1">
    <w:name w:val="heading 1"/>
    <w:basedOn w:val="a"/>
    <w:next w:val="a"/>
    <w:link w:val="10"/>
    <w:uiPriority w:val="9"/>
    <w:qFormat/>
    <w:rsid w:val="00273F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7193C"/>
    <w:rPr>
      <w:color w:val="B5BBBF"/>
      <w:u w:val="single"/>
    </w:rPr>
  </w:style>
  <w:style w:type="paragraph" w:styleId="a4">
    <w:name w:val="Normal (Web)"/>
    <w:basedOn w:val="a"/>
    <w:unhideWhenUsed/>
    <w:rsid w:val="00B7193C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ADBDCC"/>
      <w:sz w:val="20"/>
      <w:szCs w:val="20"/>
      <w:lang w:val="en-US" w:eastAsia="en-US"/>
    </w:rPr>
  </w:style>
  <w:style w:type="character" w:customStyle="1" w:styleId="articleseparator">
    <w:name w:val="article_separator"/>
    <w:rsid w:val="00B7193C"/>
    <w:rPr>
      <w:vanish w:val="0"/>
      <w:webHidden w:val="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B71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9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73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273F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vtoservist.ru/Avtolubitelu-na-zametku/proczess-goreniya/Pechat.html" TargetMode="External"/><Relationship Id="rId13" Type="http://schemas.openxmlformats.org/officeDocument/2006/relationships/image" Target="http://avtoservist.ru/images/M_images/emailButton.png" TargetMode="External"/><Relationship Id="rId18" Type="http://schemas.openxmlformats.org/officeDocument/2006/relationships/hyperlink" Target="http://avtoservist.ru/Search/newest-first.html?searchphrase=exact&amp;searchword=%D0%BA%D0%BE%D0%BB%D0%B8%D1%87%D0%B5%D1%81%D1%82%D0%B2%D0%B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http://avtoservist.ru/images/M_images/pdf_button.png" TargetMode="External"/><Relationship Id="rId12" Type="http://schemas.openxmlformats.org/officeDocument/2006/relationships/image" Target="media/image3.gif"/><Relationship Id="rId17" Type="http://schemas.openxmlformats.org/officeDocument/2006/relationships/hyperlink" Target="http://avtoservist.ru/Search/newest-first.html?searchphrase=exact&amp;searchword=%D1%81%D0%B3%D0%BE%D1%80%D0%B0%D0%BD%D0%B8%D0%B5" TargetMode="External"/><Relationship Id="rId2" Type="http://schemas.openxmlformats.org/officeDocument/2006/relationships/styles" Target="styles.xml"/><Relationship Id="rId16" Type="http://schemas.openxmlformats.org/officeDocument/2006/relationships/hyperlink" Target="http://avtoservist.ru/Search/newest-first.html?searchphrase=exact&amp;searchword=%D0%B2%D0%BE%D0%B7%D0%B4%D1%83%D1%8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http://avtoservist.ru/component/option,com_mailto/link,aHR0cDovL2F2dG9zZXJ2aXN0LnJ1L0F2dG9sdWJpdGVsdS1uYS16YW1ldGt1L3Byb2N6ZXNzLWdvcmVuaXlhLmh0bWw=/tmpl,component/" TargetMode="External"/><Relationship Id="rId5" Type="http://schemas.openxmlformats.org/officeDocument/2006/relationships/hyperlink" Target="http://avtoservist.ru/pdf/Avtolubitelu-na-zametku/proczess-goreniya.pdf" TargetMode="External"/><Relationship Id="rId15" Type="http://schemas.openxmlformats.org/officeDocument/2006/relationships/hyperlink" Target="http://avtoservist.ru/Search/newest-first.html?searchphrase=exact&amp;searchword=%D1%82%D0%BE%D0%BF%D0%BB%D0%B8%D0%B2%D0%BE" TargetMode="External"/><Relationship Id="rId10" Type="http://schemas.openxmlformats.org/officeDocument/2006/relationships/image" Target="http://avtoservist.ru/images/M_images/printButton.png" TargetMode="External"/><Relationship Id="rId19" Type="http://schemas.openxmlformats.org/officeDocument/2006/relationships/hyperlink" Target="http://avtoservist.ru/Search/newest-first.html?searchphrase=exact&amp;searchword=%D0%B3%D0%BE%D1%80%D0%B5%D0%BD%D0%B8%D0%B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091B7-B00E-4C30-819A-5E0C90DC9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2016-11-21T19:28:00Z</dcterms:created>
  <dcterms:modified xsi:type="dcterms:W3CDTF">2016-11-21T23:02:00Z</dcterms:modified>
</cp:coreProperties>
</file>